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E2383" w14:textId="77777777" w:rsidR="00D070BC" w:rsidRDefault="00D070BC" w:rsidP="0084697A">
      <w:pPr>
        <w:jc w:val="center"/>
        <w:rPr>
          <w:b/>
          <w:sz w:val="36"/>
          <w:szCs w:val="36"/>
        </w:rPr>
      </w:pPr>
    </w:p>
    <w:p w14:paraId="47C53799" w14:textId="77777777" w:rsidR="00D070BC" w:rsidRDefault="00D070BC" w:rsidP="0084697A">
      <w:pPr>
        <w:jc w:val="center"/>
        <w:rPr>
          <w:b/>
          <w:sz w:val="36"/>
          <w:szCs w:val="36"/>
        </w:rPr>
      </w:pPr>
    </w:p>
    <w:p w14:paraId="73F2CEB5" w14:textId="77777777" w:rsidR="00D070BC" w:rsidRDefault="00D070BC" w:rsidP="00D070BC">
      <w:pPr>
        <w:tabs>
          <w:tab w:val="left" w:pos="720"/>
          <w:tab w:val="left" w:pos="1440"/>
          <w:tab w:val="left" w:pos="2160"/>
          <w:tab w:val="left" w:pos="2880"/>
          <w:tab w:val="left" w:pos="3600"/>
          <w:tab w:val="left" w:pos="4320"/>
          <w:tab w:val="center" w:pos="4513"/>
          <w:tab w:val="left" w:pos="5040"/>
          <w:tab w:val="right" w:pos="9027"/>
        </w:tabs>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p>
    <w:p w14:paraId="44F0E5B2" w14:textId="77777777" w:rsidR="00DC6877" w:rsidRDefault="00DC6877" w:rsidP="0084697A">
      <w:pPr>
        <w:jc w:val="center"/>
        <w:rPr>
          <w:b/>
          <w:sz w:val="36"/>
          <w:szCs w:val="36"/>
        </w:rPr>
      </w:pPr>
    </w:p>
    <w:p w14:paraId="2DBC88B5" w14:textId="3DCC2220" w:rsidR="00D070BC" w:rsidRDefault="00525DCB" w:rsidP="0084697A">
      <w:pPr>
        <w:jc w:val="center"/>
        <w:rPr>
          <w:rFonts w:ascii="Verdana" w:hAnsi="Verdana"/>
          <w:b/>
          <w:sz w:val="28"/>
          <w:szCs w:val="36"/>
        </w:rPr>
      </w:pPr>
      <w:r w:rsidRPr="00525DCB">
        <w:rPr>
          <w:b/>
          <w:noProof/>
          <w:sz w:val="36"/>
          <w:szCs w:val="36"/>
        </w:rPr>
        <w:drawing>
          <wp:inline distT="0" distB="0" distL="0" distR="0" wp14:anchorId="0B1925A7" wp14:editId="5EC16EFF">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60EF4DAB" w14:textId="77777777" w:rsidR="008D3EEC" w:rsidRDefault="008D3EEC" w:rsidP="0084697A">
      <w:pPr>
        <w:jc w:val="center"/>
        <w:rPr>
          <w:rFonts w:ascii="Verdana" w:hAnsi="Verdana"/>
          <w:b/>
          <w:sz w:val="28"/>
          <w:szCs w:val="36"/>
        </w:rPr>
      </w:pPr>
    </w:p>
    <w:p w14:paraId="57839055" w14:textId="77777777" w:rsidR="008D3EEC" w:rsidRDefault="008D3EEC" w:rsidP="0084697A">
      <w:pPr>
        <w:jc w:val="center"/>
        <w:rPr>
          <w:rFonts w:ascii="Verdana" w:hAnsi="Verdana"/>
          <w:b/>
          <w:sz w:val="28"/>
          <w:szCs w:val="36"/>
        </w:rPr>
      </w:pPr>
    </w:p>
    <w:p w14:paraId="34D5492B" w14:textId="77777777" w:rsidR="00D070BC" w:rsidRDefault="00D070BC" w:rsidP="0084697A">
      <w:pPr>
        <w:jc w:val="center"/>
        <w:rPr>
          <w:rFonts w:ascii="Verdana" w:hAnsi="Verdana"/>
          <w:b/>
          <w:sz w:val="28"/>
          <w:szCs w:val="36"/>
        </w:rPr>
      </w:pPr>
    </w:p>
    <w:p w14:paraId="35288CDD" w14:textId="5D317608" w:rsidR="008977A5" w:rsidRDefault="00525DCB" w:rsidP="0084697A">
      <w:pPr>
        <w:tabs>
          <w:tab w:val="left" w:pos="3570"/>
        </w:tabs>
        <w:jc w:val="center"/>
        <w:rPr>
          <w:b/>
          <w:sz w:val="36"/>
          <w:szCs w:val="36"/>
        </w:rPr>
      </w:pPr>
      <w:r w:rsidRPr="00525DCB">
        <w:rPr>
          <w:b/>
          <w:noProof/>
          <w:sz w:val="36"/>
          <w:szCs w:val="36"/>
        </w:rPr>
        <w:drawing>
          <wp:inline distT="0" distB="0" distL="0" distR="0" wp14:anchorId="34971D76" wp14:editId="47235D78">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6FB0C18A" w14:textId="77777777" w:rsidR="00D070BC" w:rsidRDefault="00D070BC" w:rsidP="0084697A">
      <w:pPr>
        <w:tabs>
          <w:tab w:val="left" w:pos="3570"/>
        </w:tabs>
        <w:jc w:val="center"/>
        <w:rPr>
          <w:b/>
          <w:sz w:val="36"/>
          <w:szCs w:val="36"/>
        </w:rPr>
      </w:pPr>
    </w:p>
    <w:p w14:paraId="6AFDC15E" w14:textId="77777777" w:rsidR="000B537D" w:rsidRDefault="000B537D" w:rsidP="0084697A">
      <w:pPr>
        <w:tabs>
          <w:tab w:val="left" w:pos="3570"/>
        </w:tabs>
        <w:jc w:val="center"/>
        <w:rPr>
          <w:b/>
          <w:sz w:val="36"/>
          <w:szCs w:val="36"/>
        </w:rPr>
      </w:pPr>
    </w:p>
    <w:p w14:paraId="23F02544" w14:textId="77777777" w:rsidR="00D070BC" w:rsidRDefault="00D070BC" w:rsidP="0084697A">
      <w:pPr>
        <w:tabs>
          <w:tab w:val="left" w:pos="3570"/>
        </w:tabs>
        <w:jc w:val="center"/>
        <w:rPr>
          <w:b/>
          <w:sz w:val="36"/>
          <w:szCs w:val="36"/>
        </w:rPr>
      </w:pPr>
    </w:p>
    <w:p w14:paraId="4ED26DC1" w14:textId="77777777" w:rsidR="000B537D" w:rsidRDefault="000B537D" w:rsidP="0084697A">
      <w:pPr>
        <w:tabs>
          <w:tab w:val="left" w:pos="3570"/>
        </w:tabs>
        <w:jc w:val="center"/>
        <w:rPr>
          <w:b/>
          <w:sz w:val="36"/>
          <w:szCs w:val="36"/>
          <w:u w:val="single"/>
        </w:rPr>
      </w:pPr>
    </w:p>
    <w:p w14:paraId="79C96CF6" w14:textId="77777777" w:rsidR="000B537D" w:rsidRDefault="000B537D" w:rsidP="0084697A">
      <w:pPr>
        <w:tabs>
          <w:tab w:val="left" w:pos="3570"/>
        </w:tabs>
        <w:jc w:val="center"/>
        <w:rPr>
          <w:b/>
          <w:sz w:val="36"/>
          <w:szCs w:val="36"/>
          <w:u w:val="single"/>
        </w:rPr>
      </w:pPr>
    </w:p>
    <w:p w14:paraId="3F661021" w14:textId="77777777" w:rsidR="000B537D" w:rsidRDefault="000B537D" w:rsidP="0084697A">
      <w:pPr>
        <w:tabs>
          <w:tab w:val="left" w:pos="3570"/>
        </w:tabs>
        <w:jc w:val="center"/>
        <w:rPr>
          <w:b/>
          <w:sz w:val="36"/>
          <w:szCs w:val="36"/>
          <w:u w:val="single"/>
        </w:rPr>
      </w:pPr>
    </w:p>
    <w:p w14:paraId="49859815" w14:textId="77777777" w:rsidR="008977A5" w:rsidRPr="00D070BC" w:rsidRDefault="00D070BC" w:rsidP="0084697A">
      <w:pPr>
        <w:tabs>
          <w:tab w:val="left" w:pos="3570"/>
        </w:tabs>
        <w:jc w:val="center"/>
        <w:rPr>
          <w:b/>
          <w:sz w:val="36"/>
          <w:szCs w:val="36"/>
          <w:u w:val="single"/>
        </w:rPr>
      </w:pPr>
      <w:r w:rsidRPr="00D070BC">
        <w:rPr>
          <w:b/>
          <w:sz w:val="36"/>
          <w:szCs w:val="36"/>
          <w:u w:val="single"/>
        </w:rPr>
        <w:t>ARCHIVAL POLICY</w:t>
      </w:r>
    </w:p>
    <w:p w14:paraId="25282C28" w14:textId="77777777" w:rsidR="008977A5" w:rsidRDefault="008977A5" w:rsidP="0084697A">
      <w:pPr>
        <w:tabs>
          <w:tab w:val="left" w:pos="3570"/>
        </w:tabs>
        <w:jc w:val="center"/>
        <w:rPr>
          <w:b/>
          <w:sz w:val="36"/>
          <w:szCs w:val="36"/>
        </w:rPr>
      </w:pPr>
    </w:p>
    <w:p w14:paraId="1132BBCC" w14:textId="77777777" w:rsidR="008977A5" w:rsidRDefault="008977A5" w:rsidP="0084697A">
      <w:pPr>
        <w:tabs>
          <w:tab w:val="left" w:pos="3570"/>
        </w:tabs>
        <w:jc w:val="center"/>
        <w:rPr>
          <w:b/>
          <w:sz w:val="36"/>
          <w:szCs w:val="36"/>
        </w:rPr>
      </w:pPr>
    </w:p>
    <w:p w14:paraId="625B3C9A" w14:textId="77777777" w:rsidR="00DC6877" w:rsidRDefault="00DC6877" w:rsidP="0084697A">
      <w:pPr>
        <w:jc w:val="center"/>
        <w:rPr>
          <w:b/>
          <w:sz w:val="36"/>
          <w:szCs w:val="36"/>
        </w:rPr>
      </w:pPr>
    </w:p>
    <w:p w14:paraId="6130C253" w14:textId="77777777" w:rsidR="00DC6877" w:rsidRPr="008977A5" w:rsidRDefault="00DC6877" w:rsidP="008977A5">
      <w:pPr>
        <w:rPr>
          <w:b/>
          <w:bCs/>
          <w:sz w:val="36"/>
          <w:szCs w:val="36"/>
        </w:rPr>
      </w:pPr>
    </w:p>
    <w:p w14:paraId="269BD6F3" w14:textId="77777777" w:rsidR="00DC6877" w:rsidRDefault="00DC6877" w:rsidP="0084697A">
      <w:pPr>
        <w:jc w:val="center"/>
        <w:rPr>
          <w:sz w:val="36"/>
          <w:szCs w:val="36"/>
        </w:rPr>
      </w:pPr>
    </w:p>
    <w:p w14:paraId="4391F83A" w14:textId="77777777" w:rsidR="00DC6877" w:rsidRPr="00441BAB" w:rsidRDefault="00DC6877" w:rsidP="008977A5">
      <w:pPr>
        <w:jc w:val="both"/>
        <w:rPr>
          <w:bCs/>
          <w:sz w:val="36"/>
          <w:szCs w:val="36"/>
        </w:rPr>
      </w:pPr>
      <w:r w:rsidRPr="00441BAB">
        <w:rPr>
          <w:sz w:val="36"/>
          <w:szCs w:val="36"/>
        </w:rPr>
        <w:br w:type="page"/>
      </w:r>
    </w:p>
    <w:p w14:paraId="51EC9BA4" w14:textId="77777777" w:rsidR="007E619E" w:rsidRDefault="00DC6877" w:rsidP="00D070BC">
      <w:pPr>
        <w:pStyle w:val="Heading1"/>
        <w:spacing w:before="143"/>
        <w:ind w:left="0" w:right="96"/>
        <w:jc w:val="center"/>
        <w:rPr>
          <w:u w:val="single"/>
        </w:rPr>
      </w:pPr>
      <w:r w:rsidRPr="00D070BC">
        <w:rPr>
          <w:u w:val="single"/>
        </w:rPr>
        <w:lastRenderedPageBreak/>
        <w:t>ARCHIVAL POLICY</w:t>
      </w:r>
    </w:p>
    <w:p w14:paraId="7D1BC2DC" w14:textId="77777777" w:rsidR="00D070BC" w:rsidRPr="00D070BC" w:rsidRDefault="00D070BC" w:rsidP="00D070BC">
      <w:pPr>
        <w:pStyle w:val="Heading1"/>
        <w:spacing w:before="143"/>
        <w:ind w:left="0" w:right="96"/>
        <w:jc w:val="center"/>
        <w:rPr>
          <w:u w:val="single"/>
        </w:rPr>
      </w:pPr>
    </w:p>
    <w:p w14:paraId="2D0F5B6C" w14:textId="77777777" w:rsidR="00DC6877" w:rsidRPr="00D070BC" w:rsidRDefault="00DC6877" w:rsidP="00E215DE">
      <w:pPr>
        <w:spacing w:before="92" w:after="240"/>
        <w:ind w:left="-142" w:right="-165"/>
        <w:rPr>
          <w:b/>
        </w:rPr>
      </w:pPr>
      <w:r w:rsidRPr="00D070BC">
        <w:rPr>
          <w:b/>
        </w:rPr>
        <w:t>BACKGROUND</w:t>
      </w:r>
    </w:p>
    <w:p w14:paraId="41330E7C" w14:textId="77777777" w:rsidR="00DC6877" w:rsidRPr="00D070BC" w:rsidRDefault="00DC6877" w:rsidP="00E215DE">
      <w:pPr>
        <w:pStyle w:val="BodyText"/>
        <w:spacing w:after="240" w:line="273" w:lineRule="auto"/>
        <w:ind w:left="-142" w:right="-165"/>
        <w:jc w:val="both"/>
      </w:pPr>
      <w:r w:rsidRPr="00D070BC">
        <w:t xml:space="preserve">The Securities and Exchange Board of India </w:t>
      </w:r>
      <w:r w:rsidRPr="00E215DE">
        <w:rPr>
          <w:i/>
        </w:rPr>
        <w:t>(“SEBI”)</w:t>
      </w:r>
      <w:r w:rsidRPr="00D070BC">
        <w:t xml:space="preserve">, vide its Notification dated September 2, 2015, has issued the SEBI (Listing Obligations and Disclosure Requirements) Regulations, 2015 </w:t>
      </w:r>
      <w:r w:rsidRPr="00E215DE">
        <w:rPr>
          <w:i/>
        </w:rPr>
        <w:t>(“</w:t>
      </w:r>
      <w:r w:rsidR="00883324" w:rsidRPr="00E215DE">
        <w:rPr>
          <w:i/>
        </w:rPr>
        <w:t xml:space="preserve">Listing </w:t>
      </w:r>
      <w:r w:rsidRPr="00E215DE">
        <w:rPr>
          <w:i/>
        </w:rPr>
        <w:t>Regu</w:t>
      </w:r>
      <w:r w:rsidR="00883324" w:rsidRPr="00E215DE">
        <w:rPr>
          <w:i/>
        </w:rPr>
        <w:t>lations”)</w:t>
      </w:r>
      <w:r w:rsidR="00883324">
        <w:t xml:space="preserve">. The Regulations come into force from December 1, 2015. The Regulations </w:t>
      </w:r>
      <w:r w:rsidRPr="00D070BC">
        <w:t>mandate listed entities to formulate an archival policy.</w:t>
      </w:r>
      <w:r w:rsidR="00E215DE">
        <w:t xml:space="preserve"> </w:t>
      </w:r>
    </w:p>
    <w:p w14:paraId="5EBF7320" w14:textId="77777777" w:rsidR="006C318C" w:rsidRDefault="006C318C" w:rsidP="006C318C">
      <w:pPr>
        <w:pStyle w:val="BodyText"/>
        <w:spacing w:before="1" w:after="240" w:line="276" w:lineRule="auto"/>
        <w:ind w:left="-142" w:right="-165"/>
        <w:jc w:val="both"/>
        <w:rPr>
          <w:b/>
          <w:bCs/>
        </w:rPr>
      </w:pPr>
      <w:r w:rsidRPr="00883324">
        <w:rPr>
          <w:b/>
          <w:bCs/>
        </w:rPr>
        <w:t>OBJECTIVE OF THE POLICY</w:t>
      </w:r>
    </w:p>
    <w:p w14:paraId="71B088C9" w14:textId="6827D200" w:rsidR="00883324" w:rsidRDefault="00883324" w:rsidP="006C318C">
      <w:pPr>
        <w:pStyle w:val="BodyText"/>
        <w:spacing w:before="1" w:after="240" w:line="276" w:lineRule="auto"/>
        <w:ind w:left="-142" w:right="-165"/>
        <w:jc w:val="both"/>
        <w:rPr>
          <w:b/>
          <w:bCs/>
        </w:rPr>
      </w:pPr>
      <w:r>
        <w:t xml:space="preserve">In terms of </w:t>
      </w:r>
      <w:r w:rsidR="00DC6877" w:rsidRPr="00D070BC">
        <w:t xml:space="preserve">Regulation 30(8) </w:t>
      </w:r>
      <w:r>
        <w:t xml:space="preserve">Listing </w:t>
      </w:r>
      <w:r w:rsidRPr="00D070BC">
        <w:t>Regu</w:t>
      </w:r>
      <w:r>
        <w:t xml:space="preserve">lations, </w:t>
      </w:r>
      <w:r w:rsidR="001A52F3">
        <w:rPr>
          <w:b/>
        </w:rPr>
        <w:t>BAI-KAKAJI POLYMERS</w:t>
      </w:r>
      <w:r w:rsidR="00FC50B5">
        <w:rPr>
          <w:b/>
        </w:rPr>
        <w:t xml:space="preserve"> LIMITED</w:t>
      </w:r>
      <w:r w:rsidR="00B55C44" w:rsidRPr="00B55C44">
        <w:rPr>
          <w:b/>
        </w:rPr>
        <w:t xml:space="preserve"> </w:t>
      </w:r>
      <w:r w:rsidR="00E215DE" w:rsidRPr="00E215DE">
        <w:rPr>
          <w:i/>
        </w:rPr>
        <w:t>(“Company”)</w:t>
      </w:r>
      <w:r>
        <w:t xml:space="preserve"> is required </w:t>
      </w:r>
      <w:r w:rsidR="00DC6877" w:rsidRPr="00D070BC">
        <w:t>to disclose</w:t>
      </w:r>
      <w:r>
        <w:t>s</w:t>
      </w:r>
      <w:r w:rsidR="00DC6877" w:rsidRPr="00D070BC">
        <w:t xml:space="preserve"> on its website all such events </w:t>
      </w:r>
      <w:r w:rsidR="00DC6877" w:rsidRPr="00D070BC">
        <w:rPr>
          <w:spacing w:val="-3"/>
        </w:rPr>
        <w:t xml:space="preserve">or </w:t>
      </w:r>
      <w:r w:rsidR="00DC6877" w:rsidRPr="00D070BC">
        <w:t>information which has be</w:t>
      </w:r>
      <w:r>
        <w:t>en disclosed to stock exchange</w:t>
      </w:r>
      <w:r w:rsidR="00DC6877" w:rsidRPr="00D070BC">
        <w:t xml:space="preserve"> </w:t>
      </w:r>
      <w:r>
        <w:t xml:space="preserve">where the securities of the Company are listed </w:t>
      </w:r>
      <w:r w:rsidRPr="00883324">
        <w:t>under Regulation 30 of Listing Regulations</w:t>
      </w:r>
      <w:r>
        <w:t xml:space="preserve">. Further, such disclosures shall be hosted on the website of the Company for a minimum period of 5 years and thereafter as per the archival policy of the Company, as disclosed on its website. Accordingly, the Company has framed this policy duly adopted by the Board of Directors of the Company. </w:t>
      </w:r>
    </w:p>
    <w:p w14:paraId="1C7C7205" w14:textId="77777777" w:rsidR="00883324" w:rsidRPr="00883324" w:rsidRDefault="00883324" w:rsidP="00E215DE">
      <w:pPr>
        <w:pStyle w:val="BodyText"/>
        <w:spacing w:before="1" w:after="240" w:line="276" w:lineRule="auto"/>
        <w:ind w:left="-142" w:right="-165"/>
        <w:jc w:val="both"/>
        <w:rPr>
          <w:b/>
          <w:bCs/>
        </w:rPr>
      </w:pPr>
      <w:r w:rsidRPr="00D070BC">
        <w:t xml:space="preserve">The </w:t>
      </w:r>
      <w:r>
        <w:t xml:space="preserve">objective </w:t>
      </w:r>
      <w:r w:rsidRPr="00D070BC">
        <w:rPr>
          <w:spacing w:val="-3"/>
        </w:rPr>
        <w:t xml:space="preserve">of </w:t>
      </w:r>
      <w:r w:rsidRPr="00D070BC">
        <w:t xml:space="preserve">this Policy is to disseminate equal, adequate and timely information to the shareholders through the website </w:t>
      </w:r>
      <w:r w:rsidRPr="00D070BC">
        <w:rPr>
          <w:spacing w:val="-3"/>
        </w:rPr>
        <w:t xml:space="preserve">of </w:t>
      </w:r>
      <w:r w:rsidRPr="00D070BC">
        <w:t xml:space="preserve">the Company and to enable them </w:t>
      </w:r>
      <w:r w:rsidRPr="00D070BC">
        <w:rPr>
          <w:spacing w:val="2"/>
        </w:rPr>
        <w:t xml:space="preserve">to </w:t>
      </w:r>
      <w:r w:rsidRPr="00D070BC">
        <w:t xml:space="preserve">track the performance </w:t>
      </w:r>
      <w:r w:rsidRPr="00D070BC">
        <w:rPr>
          <w:spacing w:val="-3"/>
        </w:rPr>
        <w:t xml:space="preserve">of </w:t>
      </w:r>
      <w:r w:rsidRPr="00D070BC">
        <w:t xml:space="preserve">the Company over regular intervals </w:t>
      </w:r>
      <w:r w:rsidRPr="00D070BC">
        <w:rPr>
          <w:spacing w:val="-3"/>
        </w:rPr>
        <w:t xml:space="preserve">of </w:t>
      </w:r>
      <w:r w:rsidRPr="00D070BC">
        <w:t xml:space="preserve">time and provide sufficient information to enable investors to assess the current status </w:t>
      </w:r>
      <w:r w:rsidRPr="00D070BC">
        <w:rPr>
          <w:spacing w:val="-3"/>
        </w:rPr>
        <w:t xml:space="preserve">of </w:t>
      </w:r>
      <w:r w:rsidRPr="00D070BC">
        <w:t>the Company</w:t>
      </w:r>
      <w:r>
        <w:t>.</w:t>
      </w:r>
    </w:p>
    <w:p w14:paraId="6D2EEBFA" w14:textId="77777777" w:rsidR="00DC6877" w:rsidRPr="00D070BC" w:rsidRDefault="00DC6877" w:rsidP="00E215DE">
      <w:pPr>
        <w:pStyle w:val="Heading1"/>
        <w:spacing w:after="240"/>
        <w:ind w:left="-142" w:right="-165"/>
        <w:jc w:val="both"/>
      </w:pPr>
      <w:r w:rsidRPr="00D070BC">
        <w:t>SCOPE</w:t>
      </w:r>
    </w:p>
    <w:p w14:paraId="3C1FBE92" w14:textId="77777777" w:rsidR="00DC6877" w:rsidRPr="00D070BC" w:rsidRDefault="00DC6877" w:rsidP="0055320C">
      <w:pPr>
        <w:pStyle w:val="BodyText"/>
        <w:spacing w:before="66" w:after="240" w:line="276" w:lineRule="auto"/>
        <w:ind w:left="-142" w:right="-165"/>
        <w:jc w:val="both"/>
      </w:pPr>
      <w:r w:rsidRPr="00D070BC">
        <w:t xml:space="preserve">The documents, information, disclosures, notices, policies as provided under the </w:t>
      </w:r>
      <w:r w:rsidR="00883324">
        <w:t>Listing Regulations</w:t>
      </w:r>
      <w:r w:rsidR="00883324" w:rsidRPr="00D070BC">
        <w:t xml:space="preserve"> </w:t>
      </w:r>
      <w:r w:rsidRPr="00D070BC">
        <w:t xml:space="preserve">and the </w:t>
      </w:r>
      <w:r w:rsidR="00883324">
        <w:t xml:space="preserve">Companies </w:t>
      </w:r>
      <w:r w:rsidRPr="00D070BC">
        <w:t>Act</w:t>
      </w:r>
      <w:r w:rsidR="00883324">
        <w:t>, 2013 (“Act”)</w:t>
      </w:r>
      <w:r w:rsidRPr="00D070BC">
        <w:t xml:space="preserve">, which is required to be disclosed on the website, shall be uploaded on the website </w:t>
      </w:r>
      <w:r w:rsidRPr="00D070BC">
        <w:rPr>
          <w:spacing w:val="-3"/>
        </w:rPr>
        <w:t xml:space="preserve">of </w:t>
      </w:r>
      <w:r w:rsidRPr="00D070BC">
        <w:t xml:space="preserve">the Company. The website </w:t>
      </w:r>
      <w:r w:rsidRPr="00D070BC">
        <w:rPr>
          <w:spacing w:val="-3"/>
        </w:rPr>
        <w:t xml:space="preserve">of </w:t>
      </w:r>
      <w:r w:rsidRPr="00D070BC">
        <w:t xml:space="preserve">the Company shall be reviewed on regular intervals for ensuring that all the above mentioned disclosures are available on the website </w:t>
      </w:r>
      <w:r w:rsidRPr="00D070BC">
        <w:rPr>
          <w:spacing w:val="-3"/>
        </w:rPr>
        <w:t xml:space="preserve">of </w:t>
      </w:r>
      <w:r w:rsidRPr="00D070BC">
        <w:t xml:space="preserve">the Company as required. These disclosures, unless otherwise mentioned in the </w:t>
      </w:r>
      <w:r w:rsidRPr="00D070BC">
        <w:rPr>
          <w:spacing w:val="-3"/>
        </w:rPr>
        <w:t xml:space="preserve">Act </w:t>
      </w:r>
      <w:r w:rsidRPr="00D070BC">
        <w:t xml:space="preserve">itself, shall be hosted on the website </w:t>
      </w:r>
      <w:r w:rsidRPr="00D070BC">
        <w:rPr>
          <w:spacing w:val="-3"/>
        </w:rPr>
        <w:t xml:space="preserve">for </w:t>
      </w:r>
      <w:r w:rsidRPr="00D070BC">
        <w:t>the five years period and thereafter shall be moved/</w:t>
      </w:r>
      <w:r w:rsidR="00883324">
        <w:t xml:space="preserve"> </w:t>
      </w:r>
      <w:r w:rsidRPr="00D070BC">
        <w:t>transferred to Archives folders under the respective heads/</w:t>
      </w:r>
      <w:r w:rsidR="00883324">
        <w:t xml:space="preserve"> </w:t>
      </w:r>
      <w:r w:rsidRPr="00D070BC">
        <w:t>sub-folders, in a way so that these can be searched easily as and when required by any person. The documents/</w:t>
      </w:r>
      <w:r w:rsidR="00883324">
        <w:t xml:space="preserve"> </w:t>
      </w:r>
      <w:r w:rsidRPr="00D070BC">
        <w:t xml:space="preserve">disclosure shall be kept in the archive folders till such time as </w:t>
      </w:r>
      <w:r w:rsidRPr="00D070BC">
        <w:rPr>
          <w:spacing w:val="-3"/>
        </w:rPr>
        <w:t xml:space="preserve">may </w:t>
      </w:r>
      <w:r w:rsidRPr="00D070BC">
        <w:t>be required by law.</w:t>
      </w:r>
    </w:p>
    <w:p w14:paraId="28DEBE7B" w14:textId="77777777" w:rsidR="00883324" w:rsidRDefault="00883324" w:rsidP="00E215DE">
      <w:pPr>
        <w:pStyle w:val="BodyText"/>
        <w:spacing w:after="240"/>
        <w:ind w:left="-142" w:right="-165"/>
        <w:jc w:val="both"/>
        <w:rPr>
          <w:b/>
        </w:rPr>
      </w:pPr>
      <w:r w:rsidRPr="00883324">
        <w:rPr>
          <w:b/>
        </w:rPr>
        <w:t>AMENDMENT</w:t>
      </w:r>
    </w:p>
    <w:p w14:paraId="043E4D8D" w14:textId="77777777" w:rsidR="00883324" w:rsidRPr="00883324" w:rsidRDefault="00883324" w:rsidP="00E215DE">
      <w:pPr>
        <w:pStyle w:val="BodyText"/>
        <w:spacing w:after="240"/>
        <w:ind w:left="-142" w:right="-165"/>
        <w:jc w:val="both"/>
      </w:pPr>
      <w:r w:rsidRPr="00883324">
        <w:t>Any change in the Policy shall be approved by the Board of the Company. The Board shall have the right to withdraw and/ or amend any part of this Policy or the entire Policy, at any time, as it deems fit, or from time to time, and the decision of the Board in this respect shall be final and binding.</w:t>
      </w:r>
    </w:p>
    <w:p w14:paraId="6531DE08" w14:textId="77777777" w:rsidR="00883324" w:rsidRPr="00883324" w:rsidRDefault="00883324" w:rsidP="00E215DE">
      <w:pPr>
        <w:pStyle w:val="BodyText"/>
        <w:spacing w:after="240"/>
        <w:ind w:left="-142" w:right="-165"/>
        <w:jc w:val="both"/>
      </w:pPr>
      <w:r w:rsidRPr="00883324">
        <w:t>In case any provisions of the Policy are contrary to or inconsistent with the provisions of the Companies Act, 2013, rules framed thereunder and Listing Regulations (“Statutory Provisions”), the provisions of Statutory Provisions shall prevail.</w:t>
      </w:r>
    </w:p>
    <w:p w14:paraId="451FC182" w14:textId="77777777" w:rsidR="00E215DE" w:rsidRDefault="00E215DE" w:rsidP="00E215DE">
      <w:pPr>
        <w:pStyle w:val="BodyText"/>
        <w:spacing w:before="26" w:after="240"/>
        <w:ind w:left="-142" w:right="-165"/>
        <w:jc w:val="both"/>
        <w:rPr>
          <w:b/>
          <w:bCs/>
        </w:rPr>
      </w:pPr>
      <w:r w:rsidRPr="00E215DE">
        <w:rPr>
          <w:b/>
          <w:bCs/>
        </w:rPr>
        <w:t>DISSEMINATION OF THE POLICY</w:t>
      </w:r>
    </w:p>
    <w:p w14:paraId="6E4F6194" w14:textId="61ECE3CB" w:rsidR="00B55C44" w:rsidRDefault="00E215DE" w:rsidP="00B55C44">
      <w:pPr>
        <w:pStyle w:val="BodyText"/>
        <w:spacing w:before="26" w:after="240"/>
        <w:ind w:left="-142" w:right="-165"/>
        <w:jc w:val="both"/>
        <w:rPr>
          <w:rStyle w:val="Hyperlink"/>
        </w:rPr>
      </w:pPr>
      <w:r w:rsidRPr="00E215DE">
        <w:t>The policy shall be hosted on the website of the Company i.e</w:t>
      </w:r>
      <w:r w:rsidRPr="001A52F3">
        <w:t>.</w:t>
      </w:r>
      <w:r w:rsidR="00FC50B5" w:rsidRPr="001A52F3">
        <w:t xml:space="preserve"> </w:t>
      </w:r>
      <w:hyperlink r:id="rId8" w:history="1">
        <w:r w:rsidR="004F7CF5" w:rsidRPr="00D603D4">
          <w:rPr>
            <w:rStyle w:val="Hyperlink"/>
            <w:w w:val="105"/>
          </w:rPr>
          <w:t>https://www.baikakajipolymers.com</w:t>
        </w:r>
      </w:hyperlink>
      <w:r w:rsidR="00ED6640">
        <w:t xml:space="preserve"> </w:t>
      </w:r>
    </w:p>
    <w:p w14:paraId="765F644C" w14:textId="77777777" w:rsidR="00B55C44" w:rsidRDefault="00B55C44" w:rsidP="00B55C44">
      <w:pPr>
        <w:pStyle w:val="BodyText"/>
        <w:spacing w:before="26" w:after="240"/>
        <w:ind w:left="-142" w:right="-165"/>
        <w:jc w:val="both"/>
        <w:rPr>
          <w:rStyle w:val="Hyperlink"/>
        </w:rPr>
      </w:pPr>
      <w:bookmarkStart w:id="0" w:name="_GoBack"/>
      <w:bookmarkEnd w:id="0"/>
    </w:p>
    <w:p w14:paraId="4497A96D" w14:textId="77777777" w:rsidR="00515B16" w:rsidRPr="00B55C44" w:rsidRDefault="00515B16" w:rsidP="00B55C44">
      <w:pPr>
        <w:pStyle w:val="BodyText"/>
        <w:spacing w:before="26" w:after="240"/>
        <w:ind w:left="-142" w:right="-165"/>
        <w:jc w:val="center"/>
        <w:rPr>
          <w:bCs/>
          <w:sz w:val="32"/>
          <w:szCs w:val="32"/>
        </w:rPr>
      </w:pPr>
      <w:r w:rsidRPr="00515B16">
        <w:rPr>
          <w:bCs/>
          <w:sz w:val="32"/>
          <w:szCs w:val="32"/>
        </w:rPr>
        <w:t>*************</w:t>
      </w:r>
    </w:p>
    <w:p w14:paraId="094B9125" w14:textId="007C8A9C" w:rsidR="00E215DE" w:rsidRPr="001A52F3" w:rsidRDefault="00E215DE" w:rsidP="00E215DE">
      <w:pPr>
        <w:pStyle w:val="BodyText"/>
        <w:spacing w:before="26"/>
        <w:ind w:left="-142" w:right="-165"/>
        <w:jc w:val="both"/>
        <w:rPr>
          <w:i/>
          <w:sz w:val="18"/>
        </w:rPr>
      </w:pPr>
      <w:r w:rsidRPr="001A52F3">
        <w:rPr>
          <w:i/>
          <w:sz w:val="18"/>
        </w:rPr>
        <w:t xml:space="preserve">Effective Date: </w:t>
      </w:r>
      <w:r w:rsidR="001A52F3" w:rsidRPr="001A52F3">
        <w:rPr>
          <w:i/>
          <w:sz w:val="18"/>
        </w:rPr>
        <w:t>May 23, 2025</w:t>
      </w:r>
    </w:p>
    <w:p w14:paraId="330BE40D" w14:textId="0CE2924C" w:rsidR="00E215DE" w:rsidRPr="00E215DE" w:rsidRDefault="00E215DE" w:rsidP="00E215DE">
      <w:pPr>
        <w:pStyle w:val="BodyText"/>
        <w:spacing w:before="26"/>
        <w:ind w:left="-142" w:right="-165"/>
        <w:jc w:val="both"/>
      </w:pPr>
      <w:r w:rsidRPr="001A52F3">
        <w:rPr>
          <w:i/>
          <w:sz w:val="18"/>
        </w:rPr>
        <w:t xml:space="preserve">Date of Approval by Board of Directors: </w:t>
      </w:r>
      <w:r w:rsidR="001A52F3">
        <w:rPr>
          <w:i/>
          <w:sz w:val="18"/>
        </w:rPr>
        <w:t>May 23, 2025</w:t>
      </w:r>
    </w:p>
    <w:sectPr w:rsidR="00E215DE" w:rsidRPr="00E215DE" w:rsidSect="00E215DE">
      <w:type w:val="continuous"/>
      <w:pgSz w:w="11907" w:h="16839" w:code="9"/>
      <w:pgMar w:top="851" w:right="1275" w:bottom="993" w:left="1276" w:header="284" w:footer="876" w:gutter="0"/>
      <w:pgBorders>
        <w:top w:val="double" w:sz="2" w:space="24" w:color="000000"/>
        <w:left w:val="double" w:sz="2" w:space="24" w:color="000000"/>
        <w:bottom w:val="double" w:sz="2" w:space="24" w:color="000000"/>
        <w:right w:val="double" w:sz="2" w:space="24" w:color="000000"/>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DAA07" w14:textId="77777777" w:rsidR="00715EBD" w:rsidRDefault="00715EBD" w:rsidP="00C0486A">
      <w:r>
        <w:separator/>
      </w:r>
    </w:p>
  </w:endnote>
  <w:endnote w:type="continuationSeparator" w:id="0">
    <w:p w14:paraId="73EB3DA2" w14:textId="77777777" w:rsidR="00715EBD" w:rsidRDefault="00715EBD" w:rsidP="00C0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3C9B9" w14:textId="77777777" w:rsidR="00715EBD" w:rsidRDefault="00715EBD" w:rsidP="00C0486A">
      <w:r>
        <w:separator/>
      </w:r>
    </w:p>
  </w:footnote>
  <w:footnote w:type="continuationSeparator" w:id="0">
    <w:p w14:paraId="687B1D96" w14:textId="77777777" w:rsidR="00715EBD" w:rsidRDefault="00715EBD" w:rsidP="00C04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E619E"/>
    <w:rsid w:val="000265F3"/>
    <w:rsid w:val="000A4F8B"/>
    <w:rsid w:val="000B01F0"/>
    <w:rsid w:val="000B537D"/>
    <w:rsid w:val="000E3BC2"/>
    <w:rsid w:val="00127DC8"/>
    <w:rsid w:val="001A52F3"/>
    <w:rsid w:val="002F68D1"/>
    <w:rsid w:val="0037729D"/>
    <w:rsid w:val="003919C0"/>
    <w:rsid w:val="00441BAB"/>
    <w:rsid w:val="00450FC5"/>
    <w:rsid w:val="004D12D0"/>
    <w:rsid w:val="004F26D8"/>
    <w:rsid w:val="004F7CF5"/>
    <w:rsid w:val="00515B16"/>
    <w:rsid w:val="00521CFA"/>
    <w:rsid w:val="00525DCB"/>
    <w:rsid w:val="0053546D"/>
    <w:rsid w:val="0055320C"/>
    <w:rsid w:val="005E75AF"/>
    <w:rsid w:val="006412EE"/>
    <w:rsid w:val="00654AEF"/>
    <w:rsid w:val="006717A7"/>
    <w:rsid w:val="006C0478"/>
    <w:rsid w:val="006C318C"/>
    <w:rsid w:val="00715EBD"/>
    <w:rsid w:val="00731E64"/>
    <w:rsid w:val="00771CCE"/>
    <w:rsid w:val="00783102"/>
    <w:rsid w:val="00786AA8"/>
    <w:rsid w:val="007B11D0"/>
    <w:rsid w:val="007E2EE1"/>
    <w:rsid w:val="007E619E"/>
    <w:rsid w:val="007F69EB"/>
    <w:rsid w:val="0084697A"/>
    <w:rsid w:val="008559F2"/>
    <w:rsid w:val="00883324"/>
    <w:rsid w:val="008977A5"/>
    <w:rsid w:val="008D3EEC"/>
    <w:rsid w:val="00902751"/>
    <w:rsid w:val="009520A3"/>
    <w:rsid w:val="009779E3"/>
    <w:rsid w:val="009C3331"/>
    <w:rsid w:val="009C3FA3"/>
    <w:rsid w:val="00A371AD"/>
    <w:rsid w:val="00A517C9"/>
    <w:rsid w:val="00A676C7"/>
    <w:rsid w:val="00A719DD"/>
    <w:rsid w:val="00AC70E6"/>
    <w:rsid w:val="00B55C44"/>
    <w:rsid w:val="00B61BAB"/>
    <w:rsid w:val="00BB7C9C"/>
    <w:rsid w:val="00C0486A"/>
    <w:rsid w:val="00C2664C"/>
    <w:rsid w:val="00C76A0B"/>
    <w:rsid w:val="00D070BC"/>
    <w:rsid w:val="00D1630F"/>
    <w:rsid w:val="00D55035"/>
    <w:rsid w:val="00D65C15"/>
    <w:rsid w:val="00D80614"/>
    <w:rsid w:val="00DB0F06"/>
    <w:rsid w:val="00DC6877"/>
    <w:rsid w:val="00DF62A9"/>
    <w:rsid w:val="00E13BA8"/>
    <w:rsid w:val="00E215DE"/>
    <w:rsid w:val="00E225D2"/>
    <w:rsid w:val="00ED2928"/>
    <w:rsid w:val="00ED6640"/>
    <w:rsid w:val="00F52AB8"/>
    <w:rsid w:val="00FC5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ED7D8"/>
  <w15:docId w15:val="{0D695748-C8FD-4CB6-8AB7-19AC95EA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517C9"/>
    <w:rPr>
      <w:rFonts w:ascii="Times New Roman" w:eastAsia="Times New Roman" w:hAnsi="Times New Roman" w:cs="Times New Roman"/>
    </w:rPr>
  </w:style>
  <w:style w:type="paragraph" w:styleId="Heading1">
    <w:name w:val="heading 1"/>
    <w:basedOn w:val="Normal"/>
    <w:uiPriority w:val="1"/>
    <w:qFormat/>
    <w:rsid w:val="00A517C9"/>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17C9"/>
  </w:style>
  <w:style w:type="paragraph" w:styleId="ListParagraph">
    <w:name w:val="List Paragraph"/>
    <w:basedOn w:val="Normal"/>
    <w:uiPriority w:val="1"/>
    <w:qFormat/>
    <w:rsid w:val="00A517C9"/>
  </w:style>
  <w:style w:type="paragraph" w:customStyle="1" w:styleId="TableParagraph">
    <w:name w:val="Table Paragraph"/>
    <w:basedOn w:val="Normal"/>
    <w:uiPriority w:val="1"/>
    <w:qFormat/>
    <w:rsid w:val="00A517C9"/>
  </w:style>
  <w:style w:type="paragraph" w:styleId="BalloonText">
    <w:name w:val="Balloon Text"/>
    <w:basedOn w:val="Normal"/>
    <w:link w:val="BalloonTextChar"/>
    <w:uiPriority w:val="99"/>
    <w:semiHidden/>
    <w:unhideWhenUsed/>
    <w:rsid w:val="00127DC8"/>
    <w:rPr>
      <w:rFonts w:ascii="Tahoma" w:hAnsi="Tahoma" w:cs="Tahoma"/>
      <w:sz w:val="16"/>
      <w:szCs w:val="16"/>
    </w:rPr>
  </w:style>
  <w:style w:type="character" w:customStyle="1" w:styleId="BalloonTextChar">
    <w:name w:val="Balloon Text Char"/>
    <w:basedOn w:val="DefaultParagraphFont"/>
    <w:link w:val="BalloonText"/>
    <w:uiPriority w:val="99"/>
    <w:semiHidden/>
    <w:rsid w:val="00127DC8"/>
    <w:rPr>
      <w:rFonts w:ascii="Tahoma" w:eastAsia="Times New Roman" w:hAnsi="Tahoma" w:cs="Tahoma"/>
      <w:sz w:val="16"/>
      <w:szCs w:val="16"/>
    </w:rPr>
  </w:style>
  <w:style w:type="character" w:styleId="Hyperlink">
    <w:name w:val="Hyperlink"/>
    <w:basedOn w:val="DefaultParagraphFont"/>
    <w:uiPriority w:val="99"/>
    <w:unhideWhenUsed/>
    <w:rsid w:val="006C0478"/>
    <w:rPr>
      <w:color w:val="0000FF" w:themeColor="hyperlink"/>
      <w:u w:val="single"/>
    </w:rPr>
  </w:style>
  <w:style w:type="paragraph" w:styleId="Header">
    <w:name w:val="header"/>
    <w:basedOn w:val="Normal"/>
    <w:link w:val="HeaderChar"/>
    <w:uiPriority w:val="99"/>
    <w:unhideWhenUsed/>
    <w:rsid w:val="00C0486A"/>
    <w:pPr>
      <w:tabs>
        <w:tab w:val="center" w:pos="4680"/>
        <w:tab w:val="right" w:pos="9360"/>
      </w:tabs>
    </w:pPr>
  </w:style>
  <w:style w:type="character" w:customStyle="1" w:styleId="HeaderChar">
    <w:name w:val="Header Char"/>
    <w:basedOn w:val="DefaultParagraphFont"/>
    <w:link w:val="Header"/>
    <w:uiPriority w:val="99"/>
    <w:rsid w:val="00C0486A"/>
    <w:rPr>
      <w:rFonts w:ascii="Times New Roman" w:eastAsia="Times New Roman" w:hAnsi="Times New Roman" w:cs="Times New Roman"/>
    </w:rPr>
  </w:style>
  <w:style w:type="paragraph" w:styleId="Footer">
    <w:name w:val="footer"/>
    <w:basedOn w:val="Normal"/>
    <w:link w:val="FooterChar"/>
    <w:uiPriority w:val="99"/>
    <w:unhideWhenUsed/>
    <w:rsid w:val="00C0486A"/>
    <w:pPr>
      <w:tabs>
        <w:tab w:val="center" w:pos="4680"/>
        <w:tab w:val="right" w:pos="9360"/>
      </w:tabs>
    </w:pPr>
  </w:style>
  <w:style w:type="character" w:customStyle="1" w:styleId="FooterChar">
    <w:name w:val="Footer Char"/>
    <w:basedOn w:val="DefaultParagraphFont"/>
    <w:link w:val="Footer"/>
    <w:uiPriority w:val="99"/>
    <w:rsid w:val="00C0486A"/>
    <w:rPr>
      <w:rFonts w:ascii="Times New Roman" w:eastAsia="Times New Roman" w:hAnsi="Times New Roman" w:cs="Times New Roman"/>
    </w:rPr>
  </w:style>
  <w:style w:type="paragraph" w:customStyle="1" w:styleId="NoSpacing1">
    <w:name w:val="No Spacing1"/>
    <w:uiPriority w:val="1"/>
    <w:qFormat/>
    <w:rsid w:val="00C0486A"/>
    <w:pPr>
      <w:widowControl/>
      <w:autoSpaceDE/>
      <w:autoSpaceDN/>
    </w:pPr>
    <w:rPr>
      <w:rFonts w:ascii="Calibri" w:eastAsia="Calibri" w:hAnsi="Calibri" w:cs="Times New Roman"/>
    </w:rPr>
  </w:style>
  <w:style w:type="character" w:customStyle="1" w:styleId="UnresolvedMention">
    <w:name w:val="Unresolved Mention"/>
    <w:basedOn w:val="DefaultParagraphFont"/>
    <w:uiPriority w:val="99"/>
    <w:semiHidden/>
    <w:unhideWhenUsed/>
    <w:rsid w:val="00ED6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58514">
      <w:bodyDiv w:val="1"/>
      <w:marLeft w:val="0"/>
      <w:marRight w:val="0"/>
      <w:marTop w:val="0"/>
      <w:marBottom w:val="0"/>
      <w:divBdr>
        <w:top w:val="none" w:sz="0" w:space="0" w:color="auto"/>
        <w:left w:val="none" w:sz="0" w:space="0" w:color="auto"/>
        <w:bottom w:val="none" w:sz="0" w:space="0" w:color="auto"/>
        <w:right w:val="none" w:sz="0" w:space="0" w:color="auto"/>
      </w:divBdr>
    </w:div>
    <w:div w:id="154035907">
      <w:bodyDiv w:val="1"/>
      <w:marLeft w:val="0"/>
      <w:marRight w:val="0"/>
      <w:marTop w:val="0"/>
      <w:marBottom w:val="0"/>
      <w:divBdr>
        <w:top w:val="none" w:sz="0" w:space="0" w:color="auto"/>
        <w:left w:val="none" w:sz="0" w:space="0" w:color="auto"/>
        <w:bottom w:val="none" w:sz="0" w:space="0" w:color="auto"/>
        <w:right w:val="none" w:sz="0" w:space="0" w:color="auto"/>
      </w:divBdr>
    </w:div>
    <w:div w:id="242033404">
      <w:bodyDiv w:val="1"/>
      <w:marLeft w:val="0"/>
      <w:marRight w:val="0"/>
      <w:marTop w:val="0"/>
      <w:marBottom w:val="0"/>
      <w:divBdr>
        <w:top w:val="none" w:sz="0" w:space="0" w:color="auto"/>
        <w:left w:val="none" w:sz="0" w:space="0" w:color="auto"/>
        <w:bottom w:val="none" w:sz="0" w:space="0" w:color="auto"/>
        <w:right w:val="none" w:sz="0" w:space="0" w:color="auto"/>
      </w:divBdr>
    </w:div>
    <w:div w:id="488903349">
      <w:bodyDiv w:val="1"/>
      <w:marLeft w:val="0"/>
      <w:marRight w:val="0"/>
      <w:marTop w:val="0"/>
      <w:marBottom w:val="0"/>
      <w:divBdr>
        <w:top w:val="none" w:sz="0" w:space="0" w:color="auto"/>
        <w:left w:val="none" w:sz="0" w:space="0" w:color="auto"/>
        <w:bottom w:val="none" w:sz="0" w:space="0" w:color="auto"/>
        <w:right w:val="none" w:sz="0" w:space="0" w:color="auto"/>
      </w:divBdr>
    </w:div>
    <w:div w:id="528566157">
      <w:bodyDiv w:val="1"/>
      <w:marLeft w:val="0"/>
      <w:marRight w:val="0"/>
      <w:marTop w:val="0"/>
      <w:marBottom w:val="0"/>
      <w:divBdr>
        <w:top w:val="none" w:sz="0" w:space="0" w:color="auto"/>
        <w:left w:val="none" w:sz="0" w:space="0" w:color="auto"/>
        <w:bottom w:val="none" w:sz="0" w:space="0" w:color="auto"/>
        <w:right w:val="none" w:sz="0" w:space="0" w:color="auto"/>
      </w:divBdr>
    </w:div>
    <w:div w:id="828134704">
      <w:bodyDiv w:val="1"/>
      <w:marLeft w:val="0"/>
      <w:marRight w:val="0"/>
      <w:marTop w:val="0"/>
      <w:marBottom w:val="0"/>
      <w:divBdr>
        <w:top w:val="none" w:sz="0" w:space="0" w:color="auto"/>
        <w:left w:val="none" w:sz="0" w:space="0" w:color="auto"/>
        <w:bottom w:val="none" w:sz="0" w:space="0" w:color="auto"/>
        <w:right w:val="none" w:sz="0" w:space="0" w:color="auto"/>
      </w:divBdr>
    </w:div>
    <w:div w:id="1053115974">
      <w:bodyDiv w:val="1"/>
      <w:marLeft w:val="0"/>
      <w:marRight w:val="0"/>
      <w:marTop w:val="0"/>
      <w:marBottom w:val="0"/>
      <w:divBdr>
        <w:top w:val="none" w:sz="0" w:space="0" w:color="auto"/>
        <w:left w:val="none" w:sz="0" w:space="0" w:color="auto"/>
        <w:bottom w:val="none" w:sz="0" w:space="0" w:color="auto"/>
        <w:right w:val="none" w:sz="0" w:space="0" w:color="auto"/>
      </w:divBdr>
    </w:div>
    <w:div w:id="1620643816">
      <w:bodyDiv w:val="1"/>
      <w:marLeft w:val="0"/>
      <w:marRight w:val="0"/>
      <w:marTop w:val="0"/>
      <w:marBottom w:val="0"/>
      <w:divBdr>
        <w:top w:val="none" w:sz="0" w:space="0" w:color="auto"/>
        <w:left w:val="none" w:sz="0" w:space="0" w:color="auto"/>
        <w:bottom w:val="none" w:sz="0" w:space="0" w:color="auto"/>
        <w:right w:val="none" w:sz="0" w:space="0" w:color="auto"/>
      </w:divBdr>
    </w:div>
    <w:div w:id="1642341630">
      <w:bodyDiv w:val="1"/>
      <w:marLeft w:val="0"/>
      <w:marRight w:val="0"/>
      <w:marTop w:val="0"/>
      <w:marBottom w:val="0"/>
      <w:divBdr>
        <w:top w:val="none" w:sz="0" w:space="0" w:color="auto"/>
        <w:left w:val="none" w:sz="0" w:space="0" w:color="auto"/>
        <w:bottom w:val="none" w:sz="0" w:space="0" w:color="auto"/>
        <w:right w:val="none" w:sz="0" w:space="0" w:color="auto"/>
      </w:divBdr>
    </w:div>
    <w:div w:id="1880166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aikakajipolymers.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ArticleCST</dc:creator>
  <cp:keywords/>
  <dc:description/>
  <cp:lastModifiedBy>baikakaji</cp:lastModifiedBy>
  <cp:revision>8</cp:revision>
  <dcterms:created xsi:type="dcterms:W3CDTF">2021-09-18T06:10:00Z</dcterms:created>
  <dcterms:modified xsi:type="dcterms:W3CDTF">2025-05-27T06:19:00Z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Microsoft® Word 2016</vt:lpwstr>
  </property>
  <property fmtid="{D5CDD505-2E9C-101B-9397-08002B2CF9AE}" pid="4" name="LastSaved">
    <vt:filetime>2021-09-18T00:00:00Z</vt:filetime>
  </property>
</Properties>
</file>